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83" w:rsidRDefault="00887CB7" w:rsidP="003A2D83">
      <w:pPr>
        <w:spacing w:after="0" w:line="240" w:lineRule="auto"/>
        <w:rPr>
          <w:b/>
          <w:noProof/>
        </w:rPr>
      </w:pPr>
      <w:r>
        <w:rPr>
          <w:b/>
          <w:noProof/>
        </w:rPr>
        <w:t xml:space="preserve"> </w:t>
      </w:r>
      <w:r w:rsidR="003A2D83">
        <w:rPr>
          <w:b/>
          <w:noProof/>
        </w:rPr>
        <w:drawing>
          <wp:inline distT="0" distB="0" distL="0" distR="0" wp14:anchorId="1F05417B" wp14:editId="27ADCE26">
            <wp:extent cx="1073150" cy="823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Logo.jpg"/>
                    <pic:cNvPicPr/>
                  </pic:nvPicPr>
                  <pic:blipFill>
                    <a:blip r:embed="rId8">
                      <a:extLst>
                        <a:ext uri="{28A0092B-C50C-407E-A947-70E740481C1C}">
                          <a14:useLocalDpi xmlns:a14="http://schemas.microsoft.com/office/drawing/2010/main" val="0"/>
                        </a:ext>
                      </a:extLst>
                    </a:blip>
                    <a:stretch>
                      <a:fillRect/>
                    </a:stretch>
                  </pic:blipFill>
                  <pic:spPr>
                    <a:xfrm>
                      <a:off x="0" y="0"/>
                      <a:ext cx="1102868" cy="846036"/>
                    </a:xfrm>
                    <a:prstGeom prst="rect">
                      <a:avLst/>
                    </a:prstGeom>
                  </pic:spPr>
                </pic:pic>
              </a:graphicData>
            </a:graphic>
          </wp:inline>
        </w:drawing>
      </w:r>
      <w:r w:rsidR="003A2D83">
        <w:rPr>
          <w:b/>
          <w:noProof/>
        </w:rPr>
        <w:t xml:space="preserve">                                                                                                           </w:t>
      </w:r>
      <w:r w:rsidR="003A2D83">
        <w:rPr>
          <w:b/>
          <w:noProof/>
        </w:rPr>
        <w:drawing>
          <wp:inline distT="0" distB="0" distL="0" distR="0" wp14:anchorId="0C11ECA0" wp14:editId="26AF74FE">
            <wp:extent cx="2190746" cy="584200"/>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_mbc_4col_ai[1].jpg"/>
                    <pic:cNvPicPr/>
                  </pic:nvPicPr>
                  <pic:blipFill>
                    <a:blip r:embed="rId9">
                      <a:extLst>
                        <a:ext uri="{28A0092B-C50C-407E-A947-70E740481C1C}">
                          <a14:useLocalDpi xmlns:a14="http://schemas.microsoft.com/office/drawing/2010/main" val="0"/>
                        </a:ext>
                      </a:extLst>
                    </a:blip>
                    <a:stretch>
                      <a:fillRect/>
                    </a:stretch>
                  </pic:blipFill>
                  <pic:spPr>
                    <a:xfrm>
                      <a:off x="0" y="0"/>
                      <a:ext cx="2236815" cy="596485"/>
                    </a:xfrm>
                    <a:prstGeom prst="rect">
                      <a:avLst/>
                    </a:prstGeom>
                  </pic:spPr>
                </pic:pic>
              </a:graphicData>
            </a:graphic>
          </wp:inline>
        </w:drawing>
      </w:r>
    </w:p>
    <w:p w:rsidR="00A516D1" w:rsidRDefault="00A516D1" w:rsidP="003A2D83">
      <w:pPr>
        <w:spacing w:after="0" w:line="240" w:lineRule="auto"/>
        <w:rPr>
          <w:b/>
          <w:noProof/>
        </w:rPr>
      </w:pPr>
    </w:p>
    <w:p w:rsidR="00A516D1" w:rsidRDefault="00A516D1" w:rsidP="003A2D83">
      <w:pPr>
        <w:spacing w:after="0" w:line="240" w:lineRule="auto"/>
        <w:rPr>
          <w:b/>
          <w:noProof/>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3360A5F" wp14:editId="6B38A910">
                <wp:simplePos x="0" y="0"/>
                <wp:positionH relativeFrom="column">
                  <wp:posOffset>0</wp:posOffset>
                </wp:positionH>
                <wp:positionV relativeFrom="paragraph">
                  <wp:posOffset>151130</wp:posOffset>
                </wp:positionV>
                <wp:extent cx="6645275" cy="35941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59410"/>
                        </a:xfrm>
                        <a:prstGeom prst="rect">
                          <a:avLst/>
                        </a:prstGeom>
                        <a:solidFill>
                          <a:srgbClr val="73AF5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65CB4" w:rsidRDefault="00165CB4" w:rsidP="00165CB4">
                            <w:pPr>
                              <w:widowControl w:val="0"/>
                              <w:rPr>
                                <w:rFonts w:ascii="Arial" w:hAnsi="Arial" w:cs="Arial"/>
                                <w:b/>
                                <w:bCs/>
                                <w:color w:val="FFFFFF"/>
                                <w:sz w:val="36"/>
                                <w:szCs w:val="36"/>
                                <w14:ligatures w14:val="none"/>
                              </w:rPr>
                            </w:pPr>
                            <w:r w:rsidRPr="00B17CB6">
                              <w:rPr>
                                <w:rFonts w:ascii="Arial" w:hAnsi="Arial" w:cs="Arial"/>
                                <w:b/>
                                <w:bCs/>
                                <w:color w:val="FFFFFF"/>
                                <w:sz w:val="32"/>
                                <w:szCs w:val="32"/>
                                <w14:ligatures w14:val="none"/>
                              </w:rPr>
                              <w:t xml:space="preserve">Tenants &amp; Resident Group – Conditions of </w:t>
                            </w:r>
                            <w:r w:rsidR="00AA5F36">
                              <w:rPr>
                                <w:rFonts w:ascii="Arial" w:hAnsi="Arial" w:cs="Arial"/>
                                <w:b/>
                                <w:bCs/>
                                <w:color w:val="FFFFFF"/>
                                <w:sz w:val="32"/>
                                <w:szCs w:val="32"/>
                                <w14:ligatures w14:val="none"/>
                              </w:rPr>
                              <w:t xml:space="preserve">Capital </w:t>
                            </w:r>
                            <w:r w:rsidRPr="00B17CB6">
                              <w:rPr>
                                <w:rFonts w:ascii="Arial" w:hAnsi="Arial" w:cs="Arial"/>
                                <w:b/>
                                <w:bCs/>
                                <w:color w:val="FFFFFF"/>
                                <w:sz w:val="32"/>
                                <w:szCs w:val="32"/>
                                <w14:ligatures w14:val="none"/>
                              </w:rPr>
                              <w:t>Grant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60A5F" id="_x0000_t202" coordsize="21600,21600" o:spt="202" path="m,l,21600r21600,l21600,xe">
                <v:stroke joinstyle="miter"/>
                <v:path gradientshapeok="t" o:connecttype="rect"/>
              </v:shapetype>
              <v:shape id="Text Box 1" o:spid="_x0000_s1026" type="#_x0000_t202" style="position:absolute;margin-left:0;margin-top:11.9pt;width:523.25pt;height:28.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ygEgMAAK0GAAAOAAAAZHJzL2Uyb0RvYy54bWysVclu2zAQvRfoPxC8K5JsLbYQJYgduyiQ&#10;LkBS9EyLlEVUIlWSjpwW/fcOSS9Kcyma+iBwyOFw5r1548vrfdeiR6Y0l6LE8UWEEROVpFxsS/zl&#10;YR3MMNKGCEpaKViJn5jG11dv31wOfcEmspEtZQpBEKGLoS9xY0xfhKGuGtYRfSF7JuCwlqojBky1&#10;DakiA0Tv2nASRVk4SEV7JSumNeze+kN85eLXNavMp7rWzKC2xJCbcV/lvhv7Da8uSbFVpG94dUiD&#10;/EMWHeECHj2FuiWGoJ3iL0J1vFJSy9pcVLILZV3zirkaoJo4+qOa+4b0zNUC4Oj+BJP+f2Grj4+f&#10;FeIUuMNIkA4oemB7gxZyj2KLztDrApzue3Aze9i2nrZS3d/J6ptGQi4bIrbsRik5NIxQyM7dDEdX&#10;fRxtg2yGD5LCM2RnpAu0r1VnAwIYCKIDS08nZmwqFWxmWZJO8hSjCs6m6TyJHXUhKY63e6XNOyY7&#10;ZBclVsC8i04e77SBOsD16OKyly2na962zlDbzbJV6JFAl+TTm3Wa2tLhih67tcI6C2mv+WO/w1yf&#10;+WdIASnD0nra5F0P/JzHkyRaTObBOpvlQbJO0mCeR7MgiueLeRYl8+R2/cumGydFwyll4o4LduzH&#10;OPk7vg/K8J3kOhINJZ6kSRR5xsbFOIWxU9X0m2e13XVAj0fioA7YAg2NtiwuVp/29kuUOm5A0S3v&#10;SjyL7M9rzHbGSlDAjRSG8Navw+cVu2gA23P0gI8oT6azIM/TaZBMV1GwmK2Xwc0yzrJ8tVguVvFz&#10;9FaOEf16AF0iR3qtIXdQ3X1DB0S57TPoxQkoh3KYKZPc14tIu4VhWBmFkZLmKzeNU7LtahvjBJ7H&#10;9FXQn/Lx0J1THSF7QOMMLhB47FInUqtLr1Cz3+yBIqvcjaRPIFcowGkSZjwsGql+YDTAvCyx/r4j&#10;imHUvhcg+WmW5hkM2LGhxsZmbBBRQagSG4z8cmn8UN71im8beMm3o5A3MCZq7hR8zgpKsQbMRFfU&#10;YX7boTu2ndf5X+bqNwAAAP//AwBQSwMEFAAGAAgAAAAhABMpYabcAAAABwEAAA8AAABkcnMvZG93&#10;bnJldi54bWxMj8FOwzAQRO9I/IO1SNyo3bRUVYhTIaRKIMGBtuK8jZckSryObCcNf497guNqdmbe&#10;FLvZ9mIiH1rHGpYLBYK4cqblWsPpuH/YgggR2WDvmDT8UIBdeXtTYG7chT9pOsRapBAOOWpoYhxy&#10;KUPVkMWwcANx0r6dtxjT6WtpPF5SuO1lptRGWmw5NTQ40EtDVXcYbcL48K/daZm9zdTh6n0a6Wt/&#10;HLW+v5ufn0BEmuPfM1zxkwfKxHR2I5sgeg1pSNSQrRL/VVXrzSOIs4atWoMsC/mfv/wFAAD//wMA&#10;UEsBAi0AFAAGAAgAAAAhALaDOJL+AAAA4QEAABMAAAAAAAAAAAAAAAAAAAAAAFtDb250ZW50X1R5&#10;cGVzXS54bWxQSwECLQAUAAYACAAAACEAOP0h/9YAAACUAQAACwAAAAAAAAAAAAAAAAAvAQAAX3Jl&#10;bHMvLnJlbHNQSwECLQAUAAYACAAAACEAq5K8oBIDAACtBgAADgAAAAAAAAAAAAAAAAAuAgAAZHJz&#10;L2Uyb0RvYy54bWxQSwECLQAUAAYACAAAACEAEylhptwAAAAHAQAADwAAAAAAAAAAAAAAAABsBQAA&#10;ZHJzL2Rvd25yZXYueG1sUEsFBgAAAAAEAAQA8wAAAHUGAAAAAA==&#10;" fillcolor="#73af55" stroked="f" strokecolor="black [0]" strokeweight="2pt">
                <v:shadow color="black [0]"/>
                <v:textbox inset="2.88pt,2.88pt,2.88pt,2.88pt">
                  <w:txbxContent>
                    <w:p w:rsidR="00165CB4" w:rsidRDefault="00165CB4" w:rsidP="00165CB4">
                      <w:pPr>
                        <w:widowControl w:val="0"/>
                        <w:rPr>
                          <w:rFonts w:ascii="Arial" w:hAnsi="Arial" w:cs="Arial"/>
                          <w:b/>
                          <w:bCs/>
                          <w:color w:val="FFFFFF"/>
                          <w:sz w:val="36"/>
                          <w:szCs w:val="36"/>
                          <w14:ligatures w14:val="none"/>
                        </w:rPr>
                      </w:pPr>
                      <w:r w:rsidRPr="00B17CB6">
                        <w:rPr>
                          <w:rFonts w:ascii="Arial" w:hAnsi="Arial" w:cs="Arial"/>
                          <w:b/>
                          <w:bCs/>
                          <w:color w:val="FFFFFF"/>
                          <w:sz w:val="32"/>
                          <w:szCs w:val="32"/>
                          <w14:ligatures w14:val="none"/>
                        </w:rPr>
                        <w:t xml:space="preserve">Tenants &amp; Resident Group – Conditions of </w:t>
                      </w:r>
                      <w:r w:rsidR="00AA5F36">
                        <w:rPr>
                          <w:rFonts w:ascii="Arial" w:hAnsi="Arial" w:cs="Arial"/>
                          <w:b/>
                          <w:bCs/>
                          <w:color w:val="FFFFFF"/>
                          <w:sz w:val="32"/>
                          <w:szCs w:val="32"/>
                          <w14:ligatures w14:val="none"/>
                        </w:rPr>
                        <w:t xml:space="preserve">Capital </w:t>
                      </w:r>
                      <w:r w:rsidRPr="00B17CB6">
                        <w:rPr>
                          <w:rFonts w:ascii="Arial" w:hAnsi="Arial" w:cs="Arial"/>
                          <w:b/>
                          <w:bCs/>
                          <w:color w:val="FFFFFF"/>
                          <w:sz w:val="32"/>
                          <w:szCs w:val="32"/>
                          <w14:ligatures w14:val="none"/>
                        </w:rPr>
                        <w:t>Grant</w:t>
                      </w:r>
                    </w:p>
                  </w:txbxContent>
                </v:textbox>
              </v:shape>
            </w:pict>
          </mc:Fallback>
        </mc:AlternateContent>
      </w:r>
    </w:p>
    <w:p w:rsidR="003A2D83" w:rsidRDefault="003A2D83" w:rsidP="005111D3">
      <w:pPr>
        <w:spacing w:after="0" w:line="240" w:lineRule="auto"/>
        <w:rPr>
          <w:rFonts w:ascii="Arial" w:hAnsi="Arial" w:cs="Arial"/>
          <w:b/>
          <w:noProof/>
          <w:color w:val="auto"/>
          <w:kern w:val="0"/>
          <w:sz w:val="28"/>
          <w:szCs w:val="28"/>
          <w14:ligatures w14:val="none"/>
          <w14:cntxtAlts w14:val="0"/>
        </w:rPr>
      </w:pPr>
    </w:p>
    <w:p w:rsidR="003A2D83" w:rsidRDefault="003A2D83" w:rsidP="00B01991">
      <w:pPr>
        <w:spacing w:after="0" w:line="240" w:lineRule="auto"/>
        <w:jc w:val="center"/>
        <w:rPr>
          <w:rFonts w:ascii="Arial" w:hAnsi="Arial" w:cs="Arial"/>
          <w:b/>
          <w:noProof/>
          <w:color w:val="auto"/>
          <w:kern w:val="0"/>
          <w:sz w:val="28"/>
          <w:szCs w:val="28"/>
          <w14:ligatures w14:val="none"/>
          <w14:cntxtAlts w14:val="0"/>
        </w:rPr>
      </w:pPr>
    </w:p>
    <w:p w:rsidR="0013758C" w:rsidRDefault="0013758C" w:rsidP="00B01991">
      <w:pPr>
        <w:spacing w:after="0" w:line="240" w:lineRule="auto"/>
        <w:jc w:val="center"/>
        <w:rPr>
          <w:rFonts w:ascii="Arial" w:hAnsi="Arial" w:cs="Arial"/>
          <w:b/>
          <w:noProof/>
          <w:color w:val="auto"/>
          <w:kern w:val="0"/>
          <w:sz w:val="28"/>
          <w:szCs w:val="28"/>
          <w14:ligatures w14:val="none"/>
          <w14:cntxtAlts w14:val="0"/>
        </w:rPr>
      </w:pPr>
    </w:p>
    <w:p w:rsidR="0013758C" w:rsidRPr="00A45E26" w:rsidRDefault="0013758C" w:rsidP="0013758C">
      <w:pPr>
        <w:spacing w:after="0" w:line="240" w:lineRule="auto"/>
        <w:rPr>
          <w:rFonts w:ascii="Arial" w:hAnsi="Arial" w:cs="Arial"/>
          <w:noProof/>
          <w:sz w:val="28"/>
          <w:szCs w:val="28"/>
        </w:rPr>
      </w:pPr>
      <w:r w:rsidRPr="00A45E26">
        <w:rPr>
          <w:rFonts w:ascii="Arial" w:hAnsi="Arial" w:cs="Arial"/>
          <w:noProof/>
          <w:sz w:val="28"/>
          <w:szCs w:val="28"/>
        </w:rPr>
        <w:t>On behalf of Sandwell Council, Sandwell Community Information &amp; Participation Service (SCIPS), have been commissioned to manage and administer the tenants and resident grants process.</w:t>
      </w:r>
    </w:p>
    <w:p w:rsidR="0013758C" w:rsidRDefault="0013758C" w:rsidP="00B01991">
      <w:pPr>
        <w:spacing w:after="0" w:line="240" w:lineRule="auto"/>
        <w:jc w:val="center"/>
        <w:rPr>
          <w:rFonts w:ascii="Arial" w:hAnsi="Arial" w:cs="Arial"/>
          <w:b/>
          <w:noProof/>
          <w:color w:val="auto"/>
          <w:kern w:val="0"/>
          <w:sz w:val="28"/>
          <w:szCs w:val="28"/>
          <w14:ligatures w14:val="none"/>
          <w14:cntxtAlts w14:val="0"/>
        </w:rPr>
      </w:pPr>
    </w:p>
    <w:p w:rsidR="00165CB4" w:rsidRDefault="00AA5F36" w:rsidP="00165CB4">
      <w:pPr>
        <w:spacing w:after="0" w:line="240" w:lineRule="auto"/>
        <w:jc w:val="center"/>
        <w:rPr>
          <w:rFonts w:ascii="Arial" w:hAnsi="Arial" w:cs="Arial"/>
          <w:b/>
          <w:sz w:val="28"/>
          <w:szCs w:val="28"/>
        </w:rPr>
      </w:pPr>
      <w:r>
        <w:rPr>
          <w:rFonts w:ascii="Arial" w:hAnsi="Arial" w:cs="Arial"/>
          <w:b/>
          <w:sz w:val="28"/>
          <w:szCs w:val="28"/>
        </w:rPr>
        <w:t>Capital</w:t>
      </w:r>
      <w:r w:rsidR="0091347B">
        <w:rPr>
          <w:rFonts w:ascii="Arial" w:hAnsi="Arial" w:cs="Arial"/>
          <w:b/>
          <w:sz w:val="28"/>
          <w:szCs w:val="28"/>
        </w:rPr>
        <w:t xml:space="preserve"> </w:t>
      </w:r>
      <w:r w:rsidR="00165CB4" w:rsidRPr="00B01991">
        <w:rPr>
          <w:rFonts w:ascii="Arial" w:hAnsi="Arial" w:cs="Arial"/>
          <w:b/>
          <w:sz w:val="28"/>
          <w:szCs w:val="28"/>
        </w:rPr>
        <w:t>Grant</w:t>
      </w:r>
    </w:p>
    <w:p w:rsidR="00165CB4" w:rsidRDefault="00165CB4" w:rsidP="00165CB4">
      <w:pPr>
        <w:spacing w:after="0" w:line="240" w:lineRule="auto"/>
        <w:jc w:val="center"/>
        <w:rPr>
          <w:rFonts w:ascii="Arial" w:hAnsi="Arial" w:cs="Arial"/>
          <w:sz w:val="28"/>
          <w:szCs w:val="28"/>
        </w:rPr>
      </w:pPr>
    </w:p>
    <w:p w:rsidR="00165CB4" w:rsidRDefault="006D0F24" w:rsidP="00165CB4">
      <w:pPr>
        <w:spacing w:after="0" w:line="240" w:lineRule="auto"/>
        <w:rPr>
          <w:rFonts w:ascii="Arial" w:hAnsi="Arial" w:cs="Arial"/>
          <w:sz w:val="28"/>
          <w:szCs w:val="28"/>
        </w:rPr>
      </w:pPr>
      <w:r>
        <w:rPr>
          <w:rFonts w:ascii="Arial" w:hAnsi="Arial" w:cs="Arial"/>
          <w:sz w:val="28"/>
          <w:szCs w:val="28"/>
        </w:rPr>
        <w:t>Starter</w:t>
      </w:r>
      <w:r w:rsidR="00165CB4">
        <w:rPr>
          <w:rFonts w:ascii="Arial" w:hAnsi="Arial" w:cs="Arial"/>
          <w:sz w:val="28"/>
          <w:szCs w:val="28"/>
        </w:rPr>
        <w:t xml:space="preserve"> grants funding is available to groups who have registered with Sandwell Council.  </w:t>
      </w:r>
    </w:p>
    <w:p w:rsidR="00165CB4" w:rsidRDefault="00165CB4" w:rsidP="00165CB4">
      <w:pPr>
        <w:spacing w:after="0" w:line="240" w:lineRule="auto"/>
        <w:rPr>
          <w:rFonts w:ascii="Arial" w:hAnsi="Arial" w:cs="Arial"/>
          <w:sz w:val="28"/>
          <w:szCs w:val="28"/>
        </w:rPr>
      </w:pPr>
    </w:p>
    <w:p w:rsidR="0013758C" w:rsidRDefault="0013758C" w:rsidP="0013758C">
      <w:pPr>
        <w:pStyle w:val="ListParagraph"/>
        <w:numPr>
          <w:ilvl w:val="0"/>
          <w:numId w:val="1"/>
        </w:numPr>
        <w:spacing w:after="0" w:line="240" w:lineRule="auto"/>
        <w:ind w:hanging="720"/>
        <w:rPr>
          <w:rFonts w:ascii="Arial" w:hAnsi="Arial" w:cs="Arial"/>
          <w:sz w:val="28"/>
          <w:szCs w:val="28"/>
        </w:rPr>
      </w:pPr>
      <w:r w:rsidRPr="00713607">
        <w:rPr>
          <w:rFonts w:ascii="Arial" w:hAnsi="Arial" w:cs="Arial"/>
          <w:sz w:val="28"/>
          <w:szCs w:val="28"/>
        </w:rPr>
        <w:t xml:space="preserve">Only groups who are registered </w:t>
      </w:r>
      <w:r w:rsidR="006D0F24">
        <w:rPr>
          <w:rFonts w:ascii="Arial" w:hAnsi="Arial" w:cs="Arial"/>
          <w:sz w:val="28"/>
          <w:szCs w:val="28"/>
        </w:rPr>
        <w:t xml:space="preserve">with Sandwell Council </w:t>
      </w:r>
      <w:r w:rsidRPr="00713607">
        <w:rPr>
          <w:rFonts w:ascii="Arial" w:hAnsi="Arial" w:cs="Arial"/>
          <w:sz w:val="28"/>
          <w:szCs w:val="28"/>
        </w:rPr>
        <w:t>can apply for a grant.</w:t>
      </w:r>
    </w:p>
    <w:p w:rsidR="006D0F24" w:rsidRDefault="006D0F24" w:rsidP="006D0F24">
      <w:pPr>
        <w:spacing w:after="0" w:line="240" w:lineRule="auto"/>
        <w:rPr>
          <w:rFonts w:ascii="Arial" w:hAnsi="Arial" w:cs="Arial"/>
          <w:sz w:val="28"/>
          <w:szCs w:val="28"/>
        </w:rPr>
      </w:pPr>
    </w:p>
    <w:p w:rsidR="00165CB4" w:rsidRPr="006D0F24" w:rsidRDefault="009C5E08" w:rsidP="006D0F24">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A capital gra</w:t>
      </w:r>
      <w:r w:rsidR="00AA5F36">
        <w:rPr>
          <w:rFonts w:ascii="Arial" w:hAnsi="Arial" w:cs="Arial"/>
          <w:sz w:val="28"/>
          <w:szCs w:val="28"/>
        </w:rPr>
        <w:t xml:space="preserve">nt can be applied for upon registration with Sandwell </w:t>
      </w:r>
      <w:r>
        <w:rPr>
          <w:rFonts w:ascii="Arial" w:hAnsi="Arial" w:cs="Arial"/>
          <w:sz w:val="28"/>
          <w:szCs w:val="28"/>
        </w:rPr>
        <w:t>Council, up to a maximum of £750</w:t>
      </w:r>
      <w:r w:rsidR="005040BD">
        <w:rPr>
          <w:rFonts w:ascii="Arial" w:hAnsi="Arial" w:cs="Arial"/>
          <w:sz w:val="28"/>
          <w:szCs w:val="28"/>
        </w:rPr>
        <w:t xml:space="preserve"> per annum</w:t>
      </w:r>
      <w:r w:rsidR="006D0F24" w:rsidRPr="006D0F24">
        <w:rPr>
          <w:rFonts w:ascii="Arial" w:hAnsi="Arial" w:cs="Arial"/>
          <w:sz w:val="28"/>
          <w:szCs w:val="28"/>
        </w:rPr>
        <w:t>.</w:t>
      </w:r>
    </w:p>
    <w:p w:rsidR="006D0F24" w:rsidRDefault="006D0F24" w:rsidP="00165CB4">
      <w:pPr>
        <w:spacing w:after="0" w:line="240" w:lineRule="auto"/>
        <w:rPr>
          <w:rFonts w:ascii="Arial" w:hAnsi="Arial" w:cs="Arial"/>
          <w:sz w:val="28"/>
          <w:szCs w:val="28"/>
        </w:rPr>
      </w:pPr>
    </w:p>
    <w:p w:rsidR="00165CB4" w:rsidRDefault="00165CB4" w:rsidP="00165CB4">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A grant can only be used for the purposes stated in the application form, unless otherwise agreed by the </w:t>
      </w:r>
      <w:r w:rsidR="00750DD3">
        <w:rPr>
          <w:rFonts w:ascii="Arial" w:hAnsi="Arial" w:cs="Arial"/>
          <w:sz w:val="28"/>
          <w:szCs w:val="28"/>
        </w:rPr>
        <w:t>council</w:t>
      </w:r>
      <w:r>
        <w:rPr>
          <w:rFonts w:ascii="Arial" w:hAnsi="Arial" w:cs="Arial"/>
          <w:sz w:val="28"/>
          <w:szCs w:val="28"/>
        </w:rPr>
        <w:t>.</w:t>
      </w:r>
    </w:p>
    <w:p w:rsidR="009C5E08" w:rsidRPr="009C5E08" w:rsidRDefault="009C5E08" w:rsidP="009C5E08">
      <w:pPr>
        <w:pStyle w:val="ListParagraph"/>
        <w:rPr>
          <w:rFonts w:ascii="Arial" w:hAnsi="Arial" w:cs="Arial"/>
          <w:sz w:val="28"/>
          <w:szCs w:val="28"/>
        </w:rPr>
      </w:pPr>
    </w:p>
    <w:p w:rsidR="009C5E08" w:rsidRDefault="009C5E08" w:rsidP="00165CB4">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Upon purchase of equipment, please note that it is the property of th</w:t>
      </w:r>
      <w:r w:rsidR="005040BD">
        <w:rPr>
          <w:rFonts w:ascii="Arial" w:hAnsi="Arial" w:cs="Arial"/>
          <w:sz w:val="28"/>
          <w:szCs w:val="28"/>
        </w:rPr>
        <w:t>e</w:t>
      </w:r>
      <w:r>
        <w:rPr>
          <w:rFonts w:ascii="Arial" w:hAnsi="Arial" w:cs="Arial"/>
          <w:sz w:val="28"/>
          <w:szCs w:val="28"/>
        </w:rPr>
        <w:t xml:space="preserve"> group and </w:t>
      </w:r>
      <w:r>
        <w:rPr>
          <w:rFonts w:ascii="Arial" w:hAnsi="Arial" w:cs="Arial"/>
          <w:b/>
          <w:sz w:val="28"/>
          <w:szCs w:val="28"/>
        </w:rPr>
        <w:t>not</w:t>
      </w:r>
      <w:r>
        <w:rPr>
          <w:rFonts w:ascii="Arial" w:hAnsi="Arial" w:cs="Arial"/>
          <w:sz w:val="28"/>
          <w:szCs w:val="28"/>
        </w:rPr>
        <w:t xml:space="preserve"> any individual member,</w:t>
      </w:r>
    </w:p>
    <w:p w:rsidR="00165CB4" w:rsidRPr="00063DC8" w:rsidRDefault="00165CB4" w:rsidP="00165CB4">
      <w:pPr>
        <w:pStyle w:val="ListParagraph"/>
        <w:rPr>
          <w:rFonts w:ascii="Arial" w:hAnsi="Arial" w:cs="Arial"/>
          <w:sz w:val="28"/>
          <w:szCs w:val="28"/>
        </w:rPr>
      </w:pPr>
    </w:p>
    <w:p w:rsidR="00165CB4" w:rsidRDefault="00165CB4" w:rsidP="00614061">
      <w:pPr>
        <w:pStyle w:val="ListParagraph"/>
        <w:numPr>
          <w:ilvl w:val="0"/>
          <w:numId w:val="1"/>
        </w:numPr>
        <w:spacing w:after="0" w:line="240" w:lineRule="auto"/>
        <w:ind w:hanging="720"/>
        <w:rPr>
          <w:rFonts w:ascii="Arial" w:hAnsi="Arial" w:cs="Arial"/>
          <w:sz w:val="28"/>
          <w:szCs w:val="28"/>
        </w:rPr>
      </w:pPr>
      <w:r w:rsidRPr="00750DD3">
        <w:rPr>
          <w:rFonts w:ascii="Arial" w:hAnsi="Arial" w:cs="Arial"/>
          <w:sz w:val="28"/>
          <w:szCs w:val="28"/>
        </w:rPr>
        <w:t xml:space="preserve">Upon receipt of a </w:t>
      </w:r>
      <w:r w:rsidR="00750DD3">
        <w:rPr>
          <w:rFonts w:ascii="Arial" w:hAnsi="Arial" w:cs="Arial"/>
          <w:sz w:val="28"/>
          <w:szCs w:val="28"/>
        </w:rPr>
        <w:t>grant, the group must produce all receipts and expenditure in relation to the grant.  This will be verified within 12 months or prior to your next grant application.</w:t>
      </w:r>
    </w:p>
    <w:p w:rsidR="00750DD3" w:rsidRPr="00750DD3" w:rsidRDefault="00750DD3" w:rsidP="00750DD3">
      <w:pPr>
        <w:spacing w:after="0" w:line="240" w:lineRule="auto"/>
        <w:rPr>
          <w:rFonts w:ascii="Arial" w:hAnsi="Arial" w:cs="Arial"/>
          <w:sz w:val="28"/>
          <w:szCs w:val="28"/>
        </w:rPr>
      </w:pPr>
    </w:p>
    <w:p w:rsidR="009C5E08" w:rsidRDefault="00165CB4" w:rsidP="009C5E08">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A group may represent a wide area, but to qualify for a grant, at least 51% of your committee must be Council tenants.</w:t>
      </w:r>
    </w:p>
    <w:p w:rsidR="009C5E08" w:rsidRPr="009C5E08" w:rsidRDefault="009C5E08" w:rsidP="009C5E08">
      <w:pPr>
        <w:pStyle w:val="ListParagraph"/>
        <w:rPr>
          <w:rFonts w:ascii="Arial" w:hAnsi="Arial" w:cs="Arial"/>
          <w:sz w:val="28"/>
          <w:szCs w:val="28"/>
        </w:rPr>
      </w:pPr>
    </w:p>
    <w:p w:rsidR="00A516D1" w:rsidRDefault="009C5E08" w:rsidP="009C5E08">
      <w:pPr>
        <w:pStyle w:val="ListParagraph"/>
        <w:numPr>
          <w:ilvl w:val="0"/>
          <w:numId w:val="1"/>
        </w:numPr>
        <w:spacing w:after="0" w:line="240" w:lineRule="auto"/>
        <w:ind w:hanging="720"/>
        <w:rPr>
          <w:rFonts w:ascii="Arial" w:hAnsi="Arial" w:cs="Arial"/>
          <w:sz w:val="28"/>
          <w:szCs w:val="28"/>
        </w:rPr>
      </w:pPr>
      <w:r w:rsidRPr="009C5E08">
        <w:rPr>
          <w:rFonts w:ascii="Arial" w:hAnsi="Arial" w:cs="Arial"/>
          <w:sz w:val="28"/>
          <w:szCs w:val="28"/>
        </w:rPr>
        <w:t>Groups can apply for any equipment that is consistent with the needs of their group.  In their application the group would need to specify what equipment is required and to show why it is needed and how it will be used.</w:t>
      </w:r>
    </w:p>
    <w:p w:rsidR="009C5E08" w:rsidRPr="009C5E08" w:rsidRDefault="009C5E08" w:rsidP="009C5E08">
      <w:pPr>
        <w:pStyle w:val="ListParagraph"/>
        <w:rPr>
          <w:rFonts w:ascii="Arial" w:hAnsi="Arial" w:cs="Arial"/>
          <w:sz w:val="28"/>
          <w:szCs w:val="28"/>
        </w:rPr>
      </w:pPr>
    </w:p>
    <w:p w:rsidR="009C5E08" w:rsidRDefault="009C5E08" w:rsidP="009C5E08">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Quotes for </w:t>
      </w:r>
      <w:r w:rsidR="005040BD">
        <w:rPr>
          <w:rFonts w:ascii="Arial" w:hAnsi="Arial" w:cs="Arial"/>
          <w:sz w:val="28"/>
          <w:szCs w:val="28"/>
        </w:rPr>
        <w:t>equipment</w:t>
      </w:r>
      <w:r>
        <w:rPr>
          <w:rFonts w:ascii="Arial" w:hAnsi="Arial" w:cs="Arial"/>
          <w:sz w:val="28"/>
          <w:szCs w:val="28"/>
        </w:rPr>
        <w:t xml:space="preserve"> should be supplied on the following guidance:</w:t>
      </w:r>
    </w:p>
    <w:p w:rsidR="009C5E08" w:rsidRPr="009C5E08" w:rsidRDefault="009C5E08" w:rsidP="009C5E08">
      <w:pPr>
        <w:pStyle w:val="ListParagraph"/>
        <w:rPr>
          <w:rFonts w:ascii="Arial" w:hAnsi="Arial" w:cs="Arial"/>
          <w:sz w:val="28"/>
          <w:szCs w:val="28"/>
        </w:rPr>
      </w:pPr>
    </w:p>
    <w:p w:rsidR="009C5E08" w:rsidRDefault="009C5E08" w:rsidP="009C5E08">
      <w:pPr>
        <w:pStyle w:val="ListParagraph"/>
        <w:numPr>
          <w:ilvl w:val="0"/>
          <w:numId w:val="3"/>
        </w:numPr>
        <w:spacing w:after="0" w:line="240" w:lineRule="auto"/>
        <w:rPr>
          <w:rFonts w:ascii="Arial" w:hAnsi="Arial" w:cs="Arial"/>
          <w:sz w:val="28"/>
          <w:szCs w:val="28"/>
        </w:rPr>
      </w:pPr>
      <w:r>
        <w:rPr>
          <w:rFonts w:ascii="Arial" w:hAnsi="Arial" w:cs="Arial"/>
          <w:sz w:val="28"/>
          <w:szCs w:val="28"/>
        </w:rPr>
        <w:t>Under £50.00 -</w:t>
      </w:r>
      <w:r>
        <w:rPr>
          <w:rFonts w:ascii="Arial" w:hAnsi="Arial" w:cs="Arial"/>
          <w:sz w:val="28"/>
          <w:szCs w:val="28"/>
        </w:rPr>
        <w:tab/>
        <w:t>receipt only</w:t>
      </w:r>
      <w:bookmarkStart w:id="0" w:name="_GoBack"/>
      <w:bookmarkEnd w:id="0"/>
    </w:p>
    <w:p w:rsidR="009C5E08" w:rsidRDefault="009C5E08" w:rsidP="009C5E08">
      <w:pPr>
        <w:pStyle w:val="ListParagraph"/>
        <w:numPr>
          <w:ilvl w:val="0"/>
          <w:numId w:val="3"/>
        </w:numPr>
        <w:spacing w:after="0" w:line="240" w:lineRule="auto"/>
        <w:rPr>
          <w:rFonts w:ascii="Arial" w:hAnsi="Arial" w:cs="Arial"/>
          <w:sz w:val="28"/>
          <w:szCs w:val="28"/>
        </w:rPr>
      </w:pPr>
      <w:r>
        <w:rPr>
          <w:rFonts w:ascii="Arial" w:hAnsi="Arial" w:cs="Arial"/>
          <w:sz w:val="28"/>
          <w:szCs w:val="28"/>
        </w:rPr>
        <w:t>Over £50.00 -</w:t>
      </w:r>
      <w:r>
        <w:rPr>
          <w:rFonts w:ascii="Arial" w:hAnsi="Arial" w:cs="Arial"/>
          <w:sz w:val="28"/>
          <w:szCs w:val="28"/>
        </w:rPr>
        <w:tab/>
      </w:r>
      <w:r>
        <w:rPr>
          <w:rFonts w:ascii="Arial" w:hAnsi="Arial" w:cs="Arial"/>
          <w:sz w:val="28"/>
          <w:szCs w:val="28"/>
        </w:rPr>
        <w:tab/>
        <w:t xml:space="preserve">3 quotes – this can be </w:t>
      </w:r>
      <w:r w:rsidR="005040BD">
        <w:rPr>
          <w:rFonts w:ascii="Arial" w:hAnsi="Arial" w:cs="Arial"/>
          <w:sz w:val="28"/>
          <w:szCs w:val="28"/>
        </w:rPr>
        <w:t>price</w:t>
      </w:r>
      <w:r>
        <w:rPr>
          <w:rFonts w:ascii="Arial" w:hAnsi="Arial" w:cs="Arial"/>
          <w:sz w:val="28"/>
          <w:szCs w:val="28"/>
        </w:rPr>
        <w:t xml:space="preserve"> comparisons from a </w:t>
      </w:r>
    </w:p>
    <w:p w:rsidR="009C5E08" w:rsidRDefault="009C5E08" w:rsidP="009C5E08">
      <w:pPr>
        <w:pStyle w:val="ListParagraph"/>
        <w:spacing w:after="0" w:line="240" w:lineRule="auto"/>
        <w:ind w:left="3240" w:firstLine="360"/>
        <w:rPr>
          <w:rFonts w:ascii="Arial" w:hAnsi="Arial" w:cs="Arial"/>
          <w:sz w:val="28"/>
          <w:szCs w:val="28"/>
        </w:rPr>
      </w:pPr>
      <w:r>
        <w:rPr>
          <w:rFonts w:ascii="Arial" w:hAnsi="Arial" w:cs="Arial"/>
          <w:sz w:val="28"/>
          <w:szCs w:val="28"/>
        </w:rPr>
        <w:t>variety of suppliers.</w:t>
      </w:r>
    </w:p>
    <w:p w:rsidR="009C5E08" w:rsidRDefault="009C5E08" w:rsidP="009C5E08">
      <w:pPr>
        <w:pStyle w:val="ListParagraph"/>
        <w:spacing w:after="0" w:line="240" w:lineRule="auto"/>
        <w:ind w:left="3240" w:firstLine="360"/>
        <w:rPr>
          <w:rFonts w:ascii="Arial" w:hAnsi="Arial" w:cs="Arial"/>
          <w:sz w:val="28"/>
          <w:szCs w:val="28"/>
        </w:rPr>
      </w:pPr>
    </w:p>
    <w:p w:rsidR="009C5E08" w:rsidRDefault="009C5E08" w:rsidP="009C5E08">
      <w:pPr>
        <w:pStyle w:val="ListParagraph"/>
        <w:spacing w:after="0" w:line="240" w:lineRule="auto"/>
        <w:ind w:left="3240" w:firstLine="360"/>
        <w:rPr>
          <w:rFonts w:ascii="Arial" w:hAnsi="Arial" w:cs="Arial"/>
          <w:sz w:val="28"/>
          <w:szCs w:val="28"/>
        </w:rPr>
      </w:pPr>
    </w:p>
    <w:p w:rsidR="009C5E08" w:rsidRPr="009C5E08" w:rsidRDefault="009C5E08" w:rsidP="009C5E08">
      <w:pPr>
        <w:pStyle w:val="ListParagraph"/>
        <w:spacing w:after="0" w:line="240" w:lineRule="auto"/>
        <w:ind w:left="0"/>
        <w:rPr>
          <w:rFonts w:ascii="Arial" w:hAnsi="Arial" w:cs="Arial"/>
          <w:sz w:val="28"/>
          <w:szCs w:val="28"/>
        </w:rPr>
      </w:pPr>
    </w:p>
    <w:p w:rsidR="009C5E08" w:rsidRPr="00A516D1" w:rsidRDefault="009C5E08" w:rsidP="00A516D1">
      <w:pPr>
        <w:pStyle w:val="ListParagraph"/>
        <w:rPr>
          <w:rFonts w:ascii="Arial" w:hAnsi="Arial" w:cs="Arial"/>
          <w:sz w:val="28"/>
          <w:szCs w:val="28"/>
        </w:rPr>
      </w:pPr>
    </w:p>
    <w:p w:rsidR="009C5E08" w:rsidRDefault="00A516D1" w:rsidP="009C5E08">
      <w:pPr>
        <w:pStyle w:val="ListParagraph"/>
        <w:numPr>
          <w:ilvl w:val="0"/>
          <w:numId w:val="1"/>
        </w:numPr>
        <w:spacing w:after="0" w:line="240" w:lineRule="auto"/>
        <w:ind w:hanging="720"/>
        <w:rPr>
          <w:rFonts w:ascii="Arial" w:hAnsi="Arial" w:cs="Arial"/>
          <w:sz w:val="28"/>
          <w:szCs w:val="28"/>
        </w:rPr>
      </w:pPr>
      <w:r w:rsidRPr="00A516D1">
        <w:rPr>
          <w:rFonts w:ascii="Arial" w:hAnsi="Arial" w:cs="Arial"/>
          <w:sz w:val="28"/>
          <w:szCs w:val="28"/>
        </w:rPr>
        <w:t xml:space="preserve">To ensure that the money is spent within the guidance.  Groups must be able to </w:t>
      </w:r>
      <w:r w:rsidR="008E4F43">
        <w:rPr>
          <w:rFonts w:ascii="Arial" w:hAnsi="Arial" w:cs="Arial"/>
          <w:sz w:val="28"/>
          <w:szCs w:val="28"/>
        </w:rPr>
        <w:t>evidence</w:t>
      </w:r>
      <w:r w:rsidRPr="00A516D1">
        <w:rPr>
          <w:rFonts w:ascii="Arial" w:hAnsi="Arial" w:cs="Arial"/>
          <w:sz w:val="28"/>
          <w:szCs w:val="28"/>
        </w:rPr>
        <w:t xml:space="preserve"> their ongoing activity within their community.</w:t>
      </w:r>
      <w:r w:rsidR="009C5E08">
        <w:rPr>
          <w:rFonts w:ascii="Arial" w:hAnsi="Arial" w:cs="Arial"/>
          <w:sz w:val="28"/>
          <w:szCs w:val="28"/>
        </w:rPr>
        <w:t xml:space="preserve">  </w:t>
      </w:r>
    </w:p>
    <w:p w:rsidR="009C5E08" w:rsidRDefault="009C5E08" w:rsidP="009C5E08">
      <w:pPr>
        <w:spacing w:after="0" w:line="240" w:lineRule="auto"/>
        <w:rPr>
          <w:rFonts w:ascii="Arial" w:hAnsi="Arial" w:cs="Arial"/>
          <w:sz w:val="28"/>
          <w:szCs w:val="28"/>
        </w:rPr>
      </w:pPr>
    </w:p>
    <w:p w:rsidR="009C5E08" w:rsidRDefault="009C5E08" w:rsidP="009C5E08">
      <w:pPr>
        <w:pStyle w:val="ListParagraph"/>
        <w:numPr>
          <w:ilvl w:val="0"/>
          <w:numId w:val="1"/>
        </w:numPr>
        <w:spacing w:after="0" w:line="240" w:lineRule="auto"/>
        <w:ind w:hanging="720"/>
        <w:rPr>
          <w:rFonts w:ascii="Arial" w:hAnsi="Arial" w:cs="Arial"/>
          <w:sz w:val="28"/>
          <w:szCs w:val="28"/>
        </w:rPr>
      </w:pPr>
      <w:r w:rsidRPr="009C5E08">
        <w:rPr>
          <w:rFonts w:ascii="Arial" w:hAnsi="Arial" w:cs="Arial"/>
          <w:sz w:val="28"/>
          <w:szCs w:val="28"/>
        </w:rPr>
        <w:t>If a group dissolves/disbands, or no longer has use for the equipment purchased using this capital grant, S</w:t>
      </w:r>
      <w:r>
        <w:rPr>
          <w:rFonts w:ascii="Arial" w:hAnsi="Arial" w:cs="Arial"/>
          <w:sz w:val="28"/>
          <w:szCs w:val="28"/>
        </w:rPr>
        <w:t>a</w:t>
      </w:r>
      <w:r w:rsidRPr="009C5E08">
        <w:rPr>
          <w:rFonts w:ascii="Arial" w:hAnsi="Arial" w:cs="Arial"/>
          <w:sz w:val="28"/>
          <w:szCs w:val="28"/>
        </w:rPr>
        <w:t>ndwell Council must be consulted to agree disposal of the items.</w:t>
      </w:r>
    </w:p>
    <w:p w:rsidR="009C5E08" w:rsidRPr="009C5E08" w:rsidRDefault="009C5E08" w:rsidP="009C5E08">
      <w:pPr>
        <w:pStyle w:val="ListParagraph"/>
        <w:rPr>
          <w:rFonts w:ascii="Arial" w:hAnsi="Arial" w:cs="Arial"/>
          <w:sz w:val="28"/>
          <w:szCs w:val="28"/>
        </w:rPr>
      </w:pPr>
    </w:p>
    <w:p w:rsidR="009C5E08" w:rsidRDefault="009C5E08" w:rsidP="009C5E08">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As part of the </w:t>
      </w:r>
      <w:r w:rsidR="005040BD">
        <w:rPr>
          <w:rFonts w:ascii="Arial" w:hAnsi="Arial" w:cs="Arial"/>
          <w:sz w:val="28"/>
          <w:szCs w:val="28"/>
        </w:rPr>
        <w:t>group’s</w:t>
      </w:r>
      <w:r>
        <w:rPr>
          <w:rFonts w:ascii="Arial" w:hAnsi="Arial" w:cs="Arial"/>
          <w:sz w:val="28"/>
          <w:szCs w:val="28"/>
        </w:rPr>
        <w:t xml:space="preserve"> application, they must show that the equipment purchased is adequately insured.</w:t>
      </w:r>
    </w:p>
    <w:p w:rsidR="009C5E08" w:rsidRPr="009C5E08" w:rsidRDefault="009C5E08" w:rsidP="009C5E08">
      <w:pPr>
        <w:pStyle w:val="ListParagraph"/>
        <w:rPr>
          <w:rFonts w:ascii="Arial" w:hAnsi="Arial" w:cs="Arial"/>
          <w:sz w:val="28"/>
          <w:szCs w:val="28"/>
        </w:rPr>
      </w:pPr>
    </w:p>
    <w:p w:rsidR="009C5E08" w:rsidRDefault="009C5E08" w:rsidP="008A700B">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Groups cannot apply for future repair and </w:t>
      </w:r>
      <w:r w:rsidR="008A700B">
        <w:rPr>
          <w:rFonts w:ascii="Arial" w:hAnsi="Arial" w:cs="Arial"/>
          <w:sz w:val="28"/>
          <w:szCs w:val="28"/>
        </w:rPr>
        <w:t>m</w:t>
      </w:r>
      <w:r>
        <w:rPr>
          <w:rFonts w:ascii="Arial" w:hAnsi="Arial" w:cs="Arial"/>
          <w:sz w:val="28"/>
          <w:szCs w:val="28"/>
        </w:rPr>
        <w:t>aintena</w:t>
      </w:r>
      <w:r w:rsidR="008A700B">
        <w:rPr>
          <w:rFonts w:ascii="Arial" w:hAnsi="Arial" w:cs="Arial"/>
          <w:sz w:val="28"/>
          <w:szCs w:val="28"/>
        </w:rPr>
        <w:t>n</w:t>
      </w:r>
      <w:r w:rsidRPr="008A700B">
        <w:rPr>
          <w:rFonts w:ascii="Arial" w:hAnsi="Arial" w:cs="Arial"/>
          <w:sz w:val="28"/>
          <w:szCs w:val="28"/>
        </w:rPr>
        <w:t>ce costs.  Warranty cover will be considered as part of t</w:t>
      </w:r>
      <w:r w:rsidR="008A700B" w:rsidRPr="008A700B">
        <w:rPr>
          <w:rFonts w:ascii="Arial" w:hAnsi="Arial" w:cs="Arial"/>
          <w:sz w:val="28"/>
          <w:szCs w:val="28"/>
        </w:rPr>
        <w:t>h</w:t>
      </w:r>
      <w:r w:rsidRPr="008A700B">
        <w:rPr>
          <w:rFonts w:ascii="Arial" w:hAnsi="Arial" w:cs="Arial"/>
          <w:sz w:val="28"/>
          <w:szCs w:val="28"/>
        </w:rPr>
        <w:t>e in</w:t>
      </w:r>
      <w:r w:rsidR="008A700B" w:rsidRPr="008A700B">
        <w:rPr>
          <w:rFonts w:ascii="Arial" w:hAnsi="Arial" w:cs="Arial"/>
          <w:sz w:val="28"/>
          <w:szCs w:val="28"/>
        </w:rPr>
        <w:t>i</w:t>
      </w:r>
      <w:r w:rsidRPr="008A700B">
        <w:rPr>
          <w:rFonts w:ascii="Arial" w:hAnsi="Arial" w:cs="Arial"/>
          <w:sz w:val="28"/>
          <w:szCs w:val="28"/>
        </w:rPr>
        <w:t>tial application</w:t>
      </w:r>
      <w:r w:rsidR="008A700B" w:rsidRPr="008A700B">
        <w:rPr>
          <w:rFonts w:ascii="Arial" w:hAnsi="Arial" w:cs="Arial"/>
          <w:sz w:val="28"/>
          <w:szCs w:val="28"/>
        </w:rPr>
        <w:t>s but should not exceed 10% of the total grant amount (£750)</w:t>
      </w:r>
    </w:p>
    <w:p w:rsidR="008A700B" w:rsidRPr="008A700B" w:rsidRDefault="008A700B" w:rsidP="008A700B">
      <w:pPr>
        <w:pStyle w:val="ListParagraph"/>
        <w:rPr>
          <w:rFonts w:ascii="Arial" w:hAnsi="Arial" w:cs="Arial"/>
          <w:sz w:val="28"/>
          <w:szCs w:val="28"/>
        </w:rPr>
      </w:pPr>
    </w:p>
    <w:p w:rsidR="008A700B" w:rsidRDefault="008A700B" w:rsidP="008A700B">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All groups who receive a capital grant will be expected to use the grant within </w:t>
      </w:r>
      <w:r>
        <w:rPr>
          <w:rFonts w:ascii="Arial" w:hAnsi="Arial" w:cs="Arial"/>
          <w:b/>
          <w:sz w:val="28"/>
          <w:szCs w:val="28"/>
        </w:rPr>
        <w:t>3 months</w:t>
      </w:r>
      <w:r>
        <w:rPr>
          <w:rFonts w:ascii="Arial" w:hAnsi="Arial" w:cs="Arial"/>
          <w:sz w:val="28"/>
          <w:szCs w:val="28"/>
        </w:rPr>
        <w:t xml:space="preserve">.  Groups will be required to produce evidence of expenditure via their usual accounting methods and make records available for </w:t>
      </w:r>
      <w:r w:rsidR="005040BD">
        <w:rPr>
          <w:rFonts w:ascii="Arial" w:hAnsi="Arial" w:cs="Arial"/>
          <w:sz w:val="28"/>
          <w:szCs w:val="28"/>
        </w:rPr>
        <w:t>an</w:t>
      </w:r>
      <w:r w:rsidR="00D10B95">
        <w:rPr>
          <w:rFonts w:ascii="Arial" w:hAnsi="Arial" w:cs="Arial"/>
          <w:sz w:val="28"/>
          <w:szCs w:val="28"/>
        </w:rPr>
        <w:t xml:space="preserve"> a</w:t>
      </w:r>
      <w:r>
        <w:rPr>
          <w:rFonts w:ascii="Arial" w:hAnsi="Arial" w:cs="Arial"/>
          <w:sz w:val="28"/>
          <w:szCs w:val="28"/>
        </w:rPr>
        <w:t>udit 12 months post application.</w:t>
      </w:r>
    </w:p>
    <w:p w:rsidR="00D10B95" w:rsidRPr="00D10B95" w:rsidRDefault="00D10B95" w:rsidP="00D10B95">
      <w:pPr>
        <w:pStyle w:val="ListParagraph"/>
        <w:rPr>
          <w:rFonts w:ascii="Arial" w:hAnsi="Arial" w:cs="Arial"/>
          <w:sz w:val="28"/>
          <w:szCs w:val="28"/>
        </w:rPr>
      </w:pPr>
    </w:p>
    <w:p w:rsidR="00D10B95" w:rsidRPr="008A700B" w:rsidRDefault="00D10B95" w:rsidP="008A700B">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The group should be able to demonstrate that the money is spent within the guidelines and any purchases are for the ongoing benefit of the organisation.</w:t>
      </w:r>
    </w:p>
    <w:p w:rsidR="00A516D1" w:rsidRPr="00BB16E1" w:rsidRDefault="00A516D1" w:rsidP="00A516D1">
      <w:pPr>
        <w:pStyle w:val="ListParagraph"/>
        <w:rPr>
          <w:rFonts w:ascii="Arial" w:hAnsi="Arial" w:cs="Arial"/>
          <w:sz w:val="28"/>
          <w:szCs w:val="28"/>
        </w:rPr>
      </w:pPr>
    </w:p>
    <w:p w:rsidR="00A516D1" w:rsidRPr="008E4F43" w:rsidRDefault="00A516D1" w:rsidP="00CB5566">
      <w:pPr>
        <w:pStyle w:val="ListParagraph"/>
        <w:numPr>
          <w:ilvl w:val="0"/>
          <w:numId w:val="1"/>
        </w:numPr>
        <w:spacing w:after="0" w:line="240" w:lineRule="auto"/>
        <w:ind w:hanging="720"/>
        <w:rPr>
          <w:rFonts w:ascii="Arial" w:hAnsi="Arial" w:cs="Arial"/>
          <w:sz w:val="28"/>
          <w:szCs w:val="28"/>
        </w:rPr>
      </w:pPr>
      <w:r w:rsidRPr="008E4F43">
        <w:rPr>
          <w:rFonts w:ascii="Arial" w:hAnsi="Arial" w:cs="Arial"/>
          <w:sz w:val="28"/>
          <w:szCs w:val="28"/>
        </w:rPr>
        <w:t>It is part of your group’s constitution that written rules regarding finance are adopted.</w:t>
      </w:r>
    </w:p>
    <w:p w:rsidR="00A516D1" w:rsidRPr="008869CD" w:rsidRDefault="00A516D1" w:rsidP="00A516D1">
      <w:pPr>
        <w:pStyle w:val="ListParagraph"/>
        <w:rPr>
          <w:rFonts w:ascii="Arial" w:hAnsi="Arial" w:cs="Arial"/>
          <w:sz w:val="28"/>
          <w:szCs w:val="28"/>
        </w:rPr>
      </w:pPr>
    </w:p>
    <w:p w:rsidR="00A516D1" w:rsidRDefault="00A516D1" w:rsidP="00A516D1">
      <w:pPr>
        <w:pStyle w:val="ListParagraph"/>
        <w:numPr>
          <w:ilvl w:val="0"/>
          <w:numId w:val="1"/>
        </w:numPr>
        <w:spacing w:after="0" w:line="240" w:lineRule="auto"/>
        <w:ind w:hanging="720"/>
        <w:rPr>
          <w:rFonts w:ascii="Arial" w:hAnsi="Arial" w:cs="Arial"/>
          <w:sz w:val="28"/>
          <w:szCs w:val="28"/>
        </w:rPr>
      </w:pPr>
      <w:r w:rsidRPr="008869CD">
        <w:rPr>
          <w:rFonts w:ascii="Arial" w:hAnsi="Arial" w:cs="Arial"/>
          <w:sz w:val="28"/>
          <w:szCs w:val="28"/>
        </w:rPr>
        <w:t>Sandwell Council needs to be satisfied with the group’s systems for controlling and accounting for money before any grant can be made.  The group must have a bank account in its own name</w:t>
      </w:r>
      <w:r w:rsidR="00750DD3">
        <w:rPr>
          <w:rFonts w:ascii="Arial" w:hAnsi="Arial" w:cs="Arial"/>
          <w:sz w:val="28"/>
          <w:szCs w:val="28"/>
        </w:rPr>
        <w:t xml:space="preserve"> with the minimum </w:t>
      </w:r>
      <w:r w:rsidR="00750DD3">
        <w:rPr>
          <w:rFonts w:ascii="Arial" w:hAnsi="Arial" w:cs="Arial"/>
          <w:b/>
          <w:sz w:val="28"/>
          <w:szCs w:val="28"/>
        </w:rPr>
        <w:t>two</w:t>
      </w:r>
      <w:r w:rsidR="00750DD3">
        <w:rPr>
          <w:rFonts w:ascii="Arial" w:hAnsi="Arial" w:cs="Arial"/>
          <w:sz w:val="28"/>
          <w:szCs w:val="28"/>
        </w:rPr>
        <w:t xml:space="preserve"> signatories.</w:t>
      </w:r>
    </w:p>
    <w:p w:rsidR="004C1358" w:rsidRPr="004C1358" w:rsidRDefault="004C1358" w:rsidP="004C1358">
      <w:pPr>
        <w:pStyle w:val="ListParagraph"/>
        <w:rPr>
          <w:rFonts w:ascii="Arial" w:hAnsi="Arial" w:cs="Arial"/>
          <w:sz w:val="28"/>
          <w:szCs w:val="28"/>
        </w:rPr>
      </w:pPr>
    </w:p>
    <w:p w:rsidR="008E4F43" w:rsidRDefault="008E4F43" w:rsidP="008E4F43">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Any cheques for release of funds must require </w:t>
      </w:r>
      <w:r>
        <w:rPr>
          <w:rFonts w:ascii="Arial" w:hAnsi="Arial" w:cs="Arial"/>
          <w:b/>
          <w:sz w:val="28"/>
          <w:szCs w:val="28"/>
        </w:rPr>
        <w:t>at least two signatories</w:t>
      </w:r>
      <w:r>
        <w:rPr>
          <w:rFonts w:ascii="Arial" w:hAnsi="Arial" w:cs="Arial"/>
          <w:sz w:val="28"/>
          <w:szCs w:val="28"/>
        </w:rPr>
        <w:t>.  Both those signatures must be committee members (not from the same household).</w:t>
      </w:r>
    </w:p>
    <w:p w:rsidR="008E4F43" w:rsidRPr="008E4F43" w:rsidRDefault="008E4F43" w:rsidP="008E4F43">
      <w:pPr>
        <w:spacing w:after="0" w:line="240" w:lineRule="auto"/>
        <w:rPr>
          <w:rFonts w:ascii="Arial" w:hAnsi="Arial" w:cs="Arial"/>
          <w:sz w:val="28"/>
          <w:szCs w:val="28"/>
        </w:rPr>
      </w:pPr>
    </w:p>
    <w:p w:rsidR="004C1358" w:rsidRPr="00840810" w:rsidRDefault="004C1358" w:rsidP="004C1358">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If one of your group’s cheque signatories change, Sandwell council must be informed of their details </w:t>
      </w:r>
      <w:r w:rsidR="00D10B95">
        <w:rPr>
          <w:rFonts w:ascii="Arial" w:hAnsi="Arial" w:cs="Arial"/>
          <w:sz w:val="28"/>
          <w:szCs w:val="28"/>
        </w:rPr>
        <w:t>by completing a new details form (available upon request)</w:t>
      </w:r>
      <w:r>
        <w:rPr>
          <w:rFonts w:ascii="Arial" w:hAnsi="Arial" w:cs="Arial"/>
          <w:sz w:val="28"/>
          <w:szCs w:val="28"/>
        </w:rPr>
        <w:t xml:space="preserve">.  A new signatory must read the grant conditions and criteria and sign the </w:t>
      </w:r>
      <w:r w:rsidR="00D10B95">
        <w:rPr>
          <w:rFonts w:ascii="Arial" w:hAnsi="Arial" w:cs="Arial"/>
          <w:sz w:val="28"/>
          <w:szCs w:val="28"/>
        </w:rPr>
        <w:t xml:space="preserve">associated </w:t>
      </w:r>
      <w:r>
        <w:rPr>
          <w:rFonts w:ascii="Arial" w:hAnsi="Arial" w:cs="Arial"/>
          <w:sz w:val="28"/>
          <w:szCs w:val="28"/>
        </w:rPr>
        <w:t>declaration</w:t>
      </w:r>
      <w:r w:rsidR="00D10B95">
        <w:rPr>
          <w:rFonts w:ascii="Arial" w:hAnsi="Arial" w:cs="Arial"/>
          <w:sz w:val="28"/>
          <w:szCs w:val="28"/>
        </w:rPr>
        <w:t>.</w:t>
      </w:r>
    </w:p>
    <w:p w:rsidR="004C1358" w:rsidRDefault="004C1358" w:rsidP="004C1358">
      <w:pPr>
        <w:spacing w:after="0" w:line="240" w:lineRule="auto"/>
        <w:rPr>
          <w:b/>
          <w:noProof/>
        </w:rPr>
      </w:pPr>
    </w:p>
    <w:p w:rsidR="00A516D1" w:rsidRDefault="00A516D1" w:rsidP="00A516D1">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The money cannot be used for social trips, repairs, social events or holiday projects.</w:t>
      </w:r>
    </w:p>
    <w:p w:rsidR="00A516D1" w:rsidRPr="00B465E1" w:rsidRDefault="00A516D1" w:rsidP="00A516D1">
      <w:pPr>
        <w:pStyle w:val="ListParagraph"/>
        <w:rPr>
          <w:rFonts w:ascii="Arial" w:hAnsi="Arial" w:cs="Arial"/>
          <w:sz w:val="28"/>
          <w:szCs w:val="28"/>
        </w:rPr>
      </w:pPr>
    </w:p>
    <w:p w:rsidR="00A516D1" w:rsidRDefault="00A516D1" w:rsidP="00A516D1">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lastRenderedPageBreak/>
        <w:t xml:space="preserve">Groups </w:t>
      </w:r>
      <w:r w:rsidR="008E4F43">
        <w:rPr>
          <w:rFonts w:ascii="Arial" w:hAnsi="Arial" w:cs="Arial"/>
          <w:sz w:val="28"/>
          <w:szCs w:val="28"/>
        </w:rPr>
        <w:t>are requested to ensure value for m</w:t>
      </w:r>
      <w:r w:rsidR="00131538">
        <w:rPr>
          <w:rFonts w:ascii="Arial" w:hAnsi="Arial" w:cs="Arial"/>
          <w:sz w:val="28"/>
          <w:szCs w:val="28"/>
        </w:rPr>
        <w:t>oney and where possible u</w:t>
      </w:r>
      <w:r w:rsidR="008E4F43">
        <w:rPr>
          <w:rFonts w:ascii="Arial" w:hAnsi="Arial" w:cs="Arial"/>
          <w:sz w:val="28"/>
          <w:szCs w:val="28"/>
        </w:rPr>
        <w:t xml:space="preserve">tilise </w:t>
      </w:r>
      <w:r w:rsidR="00131538">
        <w:rPr>
          <w:rFonts w:ascii="Arial" w:hAnsi="Arial" w:cs="Arial"/>
          <w:sz w:val="28"/>
          <w:szCs w:val="28"/>
        </w:rPr>
        <w:t>funds in a cost efficient manner, whilst using existing</w:t>
      </w:r>
      <w:r w:rsidR="008E4F43">
        <w:rPr>
          <w:rFonts w:ascii="Arial" w:hAnsi="Arial" w:cs="Arial"/>
          <w:sz w:val="28"/>
          <w:szCs w:val="28"/>
        </w:rPr>
        <w:t xml:space="preserve"> resources within their communities av</w:t>
      </w:r>
      <w:r>
        <w:rPr>
          <w:rFonts w:ascii="Arial" w:hAnsi="Arial" w:cs="Arial"/>
          <w:sz w:val="28"/>
          <w:szCs w:val="28"/>
        </w:rPr>
        <w:t>ailable for use by groups.</w:t>
      </w:r>
    </w:p>
    <w:p w:rsidR="0086619E" w:rsidRDefault="0086619E" w:rsidP="0086619E">
      <w:pPr>
        <w:pStyle w:val="ListParagraph"/>
        <w:rPr>
          <w:rFonts w:ascii="Arial" w:hAnsi="Arial" w:cs="Arial"/>
          <w:sz w:val="28"/>
          <w:szCs w:val="28"/>
        </w:rPr>
      </w:pPr>
    </w:p>
    <w:p w:rsidR="00750DD3" w:rsidRDefault="00750DD3" w:rsidP="00750DD3">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Groups must agree to comply with all the conditions before accepting any grant.  Non-compliance, Sandwell council reserves the right to withdraw the grant, and if, appropriate, demand repayment of funding in full.</w:t>
      </w:r>
    </w:p>
    <w:p w:rsidR="00750DD3" w:rsidRPr="0086619E" w:rsidRDefault="00750DD3" w:rsidP="0086619E">
      <w:pPr>
        <w:pStyle w:val="ListParagraph"/>
        <w:rPr>
          <w:rFonts w:ascii="Arial" w:hAnsi="Arial" w:cs="Arial"/>
          <w:sz w:val="28"/>
          <w:szCs w:val="28"/>
        </w:rPr>
      </w:pPr>
    </w:p>
    <w:sectPr w:rsidR="00750DD3" w:rsidRPr="0086619E" w:rsidSect="005111D3">
      <w:headerReference w:type="even" r:id="rId10"/>
      <w:headerReference w:type="default" r:id="rId11"/>
      <w:footerReference w:type="even" r:id="rId12"/>
      <w:footerReference w:type="default" r:id="rId13"/>
      <w:headerReference w:type="first" r:id="rId14"/>
      <w:footerReference w:type="first" r:id="rId15"/>
      <w:pgSz w:w="11906" w:h="16838"/>
      <w:pgMar w:top="142"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84" w:rsidRDefault="003A1D84" w:rsidP="00EB4ED0">
      <w:pPr>
        <w:spacing w:after="0" w:line="240" w:lineRule="auto"/>
      </w:pPr>
      <w:r>
        <w:separator/>
      </w:r>
    </w:p>
  </w:endnote>
  <w:endnote w:type="continuationSeparator" w:id="0">
    <w:p w:rsidR="003A1D84" w:rsidRDefault="003A1D84" w:rsidP="00EB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3F" w:rsidRDefault="00406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D0" w:rsidRPr="006538F0" w:rsidRDefault="00187A23">
    <w:pPr>
      <w:pStyle w:val="Footer"/>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Pr>
        <w:noProof/>
        <w:sz w:val="16"/>
        <w:szCs w:val="16"/>
      </w:rPr>
      <w:t>s:\tenants &amp; residents ass\grants\grant review 2017\review june 2017\appendix 2b. running costs grant - conditions of grant - st - 020617.docx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3F" w:rsidRDefault="00406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84" w:rsidRDefault="003A1D84" w:rsidP="00EB4ED0">
      <w:pPr>
        <w:spacing w:after="0" w:line="240" w:lineRule="auto"/>
      </w:pPr>
      <w:r>
        <w:separator/>
      </w:r>
    </w:p>
  </w:footnote>
  <w:footnote w:type="continuationSeparator" w:id="0">
    <w:p w:rsidR="003A1D84" w:rsidRDefault="003A1D84" w:rsidP="00EB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3F" w:rsidRDefault="00406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3F" w:rsidRDefault="0040613F" w:rsidP="0040613F">
    <w:pPr>
      <w:pStyle w:val="Header"/>
      <w:jc w:val="right"/>
    </w:pPr>
    <w:r>
      <w:t>Appendix 3b</w:t>
    </w:r>
  </w:p>
  <w:p w:rsidR="007457A6" w:rsidRDefault="00745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3F" w:rsidRDefault="00406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20ABC"/>
    <w:multiLevelType w:val="hybridMultilevel"/>
    <w:tmpl w:val="ACE41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CF78FB"/>
    <w:multiLevelType w:val="hybridMultilevel"/>
    <w:tmpl w:val="F2983E0C"/>
    <w:lvl w:ilvl="0" w:tplc="360A755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C8E4A71"/>
    <w:multiLevelType w:val="hybridMultilevel"/>
    <w:tmpl w:val="4FAA9FB2"/>
    <w:lvl w:ilvl="0" w:tplc="1B0E7210">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84"/>
    <w:rsid w:val="0001016A"/>
    <w:rsid w:val="00063DC8"/>
    <w:rsid w:val="00091EC3"/>
    <w:rsid w:val="00131538"/>
    <w:rsid w:val="0013758C"/>
    <w:rsid w:val="00165CB4"/>
    <w:rsid w:val="00187A23"/>
    <w:rsid w:val="002A591C"/>
    <w:rsid w:val="00366C20"/>
    <w:rsid w:val="003753C3"/>
    <w:rsid w:val="003A1D84"/>
    <w:rsid w:val="003A2D83"/>
    <w:rsid w:val="00400D00"/>
    <w:rsid w:val="0040613F"/>
    <w:rsid w:val="00411707"/>
    <w:rsid w:val="004C1358"/>
    <w:rsid w:val="005040BD"/>
    <w:rsid w:val="005111D3"/>
    <w:rsid w:val="00517386"/>
    <w:rsid w:val="00570B0D"/>
    <w:rsid w:val="00586052"/>
    <w:rsid w:val="006538F0"/>
    <w:rsid w:val="006D0F24"/>
    <w:rsid w:val="00713607"/>
    <w:rsid w:val="007431FC"/>
    <w:rsid w:val="007457A6"/>
    <w:rsid w:val="00750DD3"/>
    <w:rsid w:val="007778E3"/>
    <w:rsid w:val="00823752"/>
    <w:rsid w:val="00840810"/>
    <w:rsid w:val="008526DD"/>
    <w:rsid w:val="0086619E"/>
    <w:rsid w:val="008869CD"/>
    <w:rsid w:val="00887CB7"/>
    <w:rsid w:val="008A700B"/>
    <w:rsid w:val="008C444F"/>
    <w:rsid w:val="008D7187"/>
    <w:rsid w:val="008E3044"/>
    <w:rsid w:val="008E4F43"/>
    <w:rsid w:val="0091347B"/>
    <w:rsid w:val="009C5E08"/>
    <w:rsid w:val="009F5F26"/>
    <w:rsid w:val="00A516D1"/>
    <w:rsid w:val="00AA5F36"/>
    <w:rsid w:val="00B01991"/>
    <w:rsid w:val="00B465E1"/>
    <w:rsid w:val="00BB16E1"/>
    <w:rsid w:val="00BB4EB8"/>
    <w:rsid w:val="00C86D85"/>
    <w:rsid w:val="00D10B95"/>
    <w:rsid w:val="00DD0A01"/>
    <w:rsid w:val="00E12B46"/>
    <w:rsid w:val="00EB4ED0"/>
    <w:rsid w:val="00F55EDF"/>
    <w:rsid w:val="00F7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841AB9B-5CF6-469D-8E93-AE513A8B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8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ED0"/>
    <w:pPr>
      <w:tabs>
        <w:tab w:val="center" w:pos="4513"/>
        <w:tab w:val="right" w:pos="9026"/>
      </w:tabs>
      <w:spacing w:after="0" w:line="240" w:lineRule="auto"/>
    </w:pPr>
    <w:rPr>
      <w:rFonts w:ascii="Arial" w:eastAsiaTheme="minorHAnsi" w:hAnsi="Arial" w:cstheme="minorBidi"/>
      <w:color w:val="auto"/>
      <w:kern w:val="0"/>
      <w:sz w:val="28"/>
      <w:szCs w:val="22"/>
      <w:lang w:eastAsia="en-US"/>
      <w14:ligatures w14:val="none"/>
      <w14:cntxtAlts w14:val="0"/>
    </w:rPr>
  </w:style>
  <w:style w:type="character" w:customStyle="1" w:styleId="HeaderChar">
    <w:name w:val="Header Char"/>
    <w:basedOn w:val="DefaultParagraphFont"/>
    <w:link w:val="Header"/>
    <w:uiPriority w:val="99"/>
    <w:rsid w:val="00EB4ED0"/>
    <w:rPr>
      <w:rFonts w:ascii="Arial" w:hAnsi="Arial"/>
      <w:sz w:val="28"/>
    </w:rPr>
  </w:style>
  <w:style w:type="paragraph" w:styleId="Footer">
    <w:name w:val="footer"/>
    <w:basedOn w:val="Normal"/>
    <w:link w:val="FooterChar"/>
    <w:uiPriority w:val="99"/>
    <w:unhideWhenUsed/>
    <w:rsid w:val="00EB4ED0"/>
    <w:pPr>
      <w:tabs>
        <w:tab w:val="center" w:pos="4513"/>
        <w:tab w:val="right" w:pos="9026"/>
      </w:tabs>
      <w:spacing w:after="0" w:line="240" w:lineRule="auto"/>
    </w:pPr>
    <w:rPr>
      <w:rFonts w:ascii="Arial" w:eastAsiaTheme="minorHAnsi" w:hAnsi="Arial" w:cstheme="minorBidi"/>
      <w:color w:val="auto"/>
      <w:kern w:val="0"/>
      <w:sz w:val="28"/>
      <w:szCs w:val="22"/>
      <w:lang w:eastAsia="en-US"/>
      <w14:ligatures w14:val="none"/>
      <w14:cntxtAlts w14:val="0"/>
    </w:rPr>
  </w:style>
  <w:style w:type="character" w:customStyle="1" w:styleId="FooterChar">
    <w:name w:val="Footer Char"/>
    <w:basedOn w:val="DefaultParagraphFont"/>
    <w:link w:val="Footer"/>
    <w:uiPriority w:val="99"/>
    <w:rsid w:val="00EB4ED0"/>
    <w:rPr>
      <w:rFonts w:ascii="Arial" w:hAnsi="Arial"/>
      <w:sz w:val="28"/>
    </w:rPr>
  </w:style>
  <w:style w:type="paragraph" w:styleId="ListParagraph">
    <w:name w:val="List Paragraph"/>
    <w:basedOn w:val="Normal"/>
    <w:uiPriority w:val="34"/>
    <w:qFormat/>
    <w:rsid w:val="00B01991"/>
    <w:pPr>
      <w:ind w:left="720"/>
      <w:contextualSpacing/>
    </w:pPr>
  </w:style>
  <w:style w:type="paragraph" w:styleId="BalloonText">
    <w:name w:val="Balloon Text"/>
    <w:basedOn w:val="Normal"/>
    <w:link w:val="BalloonTextChar"/>
    <w:uiPriority w:val="99"/>
    <w:semiHidden/>
    <w:unhideWhenUsed/>
    <w:rsid w:val="00E1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46"/>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D634-E9ED-4BDB-9447-ECDAAA13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Sarah Thompson</cp:lastModifiedBy>
  <cp:revision>5</cp:revision>
  <cp:lastPrinted>2016-08-18T16:06:00Z</cp:lastPrinted>
  <dcterms:created xsi:type="dcterms:W3CDTF">2017-06-02T14:42:00Z</dcterms:created>
  <dcterms:modified xsi:type="dcterms:W3CDTF">2017-07-27T11:35:00Z</dcterms:modified>
</cp:coreProperties>
</file>